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A87" w:rsidRPr="00B72DE3" w:rsidRDefault="00161A87" w:rsidP="00161A87">
      <w:pPr>
        <w:autoSpaceDE/>
        <w:jc w:val="right"/>
        <w:rPr>
          <w:rFonts w:ascii="Arial" w:hAnsi="Arial" w:cs="Arial"/>
          <w:i/>
          <w:sz w:val="20"/>
          <w:szCs w:val="20"/>
        </w:rPr>
      </w:pPr>
      <w:bookmarkStart w:id="0" w:name="_GoBack"/>
      <w:bookmarkEnd w:id="0"/>
    </w:p>
    <w:p w:rsidR="00161A87" w:rsidRPr="00B72DE3" w:rsidRDefault="00161A87" w:rsidP="00161A87">
      <w:pPr>
        <w:autoSpaceDE/>
        <w:jc w:val="right"/>
        <w:rPr>
          <w:rFonts w:ascii="Arial" w:hAnsi="Arial" w:cs="Arial"/>
          <w:b/>
          <w:bCs/>
          <w:sz w:val="20"/>
          <w:szCs w:val="20"/>
        </w:rPr>
      </w:pPr>
    </w:p>
    <w:p w:rsidR="00161A87" w:rsidRPr="00B72DE3" w:rsidRDefault="00161A87" w:rsidP="00161A87">
      <w:pPr>
        <w:pStyle w:val="Nagwek1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b/>
          <w:bCs/>
          <w:sz w:val="20"/>
          <w:szCs w:val="20"/>
        </w:rPr>
        <w:t>KARTA KURSU</w:t>
      </w:r>
    </w:p>
    <w:p w:rsidR="00161A87" w:rsidRPr="00B72DE3" w:rsidRDefault="00161A87" w:rsidP="00161A8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161A87" w:rsidRPr="00B72DE3" w:rsidTr="0027427A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161A87" w:rsidRPr="00BD30A9" w:rsidRDefault="00161A87" w:rsidP="0027427A">
            <w:pPr>
              <w:pStyle w:val="Zawartotabeli"/>
              <w:jc w:val="center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Fonts w:ascii="Arial" w:hAnsi="Arial"/>
                <w:sz w:val="20"/>
              </w:rPr>
              <w:t>Niemieckojęzyczna literatura emigrantów i imigrantów w XIX i XX wieku</w:t>
            </w:r>
          </w:p>
        </w:tc>
      </w:tr>
      <w:tr w:rsidR="00161A87" w:rsidRPr="00A961B3" w:rsidTr="0027427A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161A87" w:rsidRPr="00CB6303" w:rsidRDefault="00161A87" w:rsidP="0027427A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B6303">
              <w:rPr>
                <w:rFonts w:ascii="Arial" w:hAnsi="Arial" w:cs="Arial"/>
                <w:sz w:val="20"/>
                <w:szCs w:val="20"/>
                <w:lang w:val="en-US"/>
              </w:rPr>
              <w:t>German literature of emigrants and immigrants in the 19th and 20th century</w:t>
            </w:r>
          </w:p>
        </w:tc>
      </w:tr>
    </w:tbl>
    <w:p w:rsidR="00161A87" w:rsidRPr="00CB6303" w:rsidRDefault="00161A87" w:rsidP="00161A87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161A87" w:rsidRPr="00B72DE3" w:rsidTr="0027427A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161A87" w:rsidRPr="00B72DE3" w:rsidRDefault="00161A87" w:rsidP="0027427A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161A87" w:rsidRPr="00B72DE3" w:rsidRDefault="00161A87" w:rsidP="00161A8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161A87" w:rsidRPr="00B72DE3" w:rsidTr="0027427A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161A87" w:rsidRPr="00E72EDD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hab. prof. UP</w:t>
            </w:r>
            <w:r w:rsidRPr="00E72EDD">
              <w:rPr>
                <w:rFonts w:ascii="Arial" w:hAnsi="Arial" w:cs="Arial"/>
                <w:sz w:val="20"/>
                <w:szCs w:val="20"/>
              </w:rPr>
              <w:t xml:space="preserve"> Paul M. Langner</w:t>
            </w:r>
          </w:p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Agata Mirecka</w:t>
            </w: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kursu (cele kształcenia)</w:t>
      </w: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161A87" w:rsidRPr="00B72DE3" w:rsidTr="0027427A">
        <w:trPr>
          <w:trHeight w:val="1365"/>
        </w:trPr>
        <w:tc>
          <w:tcPr>
            <w:tcW w:w="9640" w:type="dxa"/>
          </w:tcPr>
          <w:p w:rsidR="00161A87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7465B6">
              <w:rPr>
                <w:rFonts w:ascii="Arial" w:hAnsi="Arial" w:cs="Arial"/>
                <w:b/>
                <w:sz w:val="20"/>
                <w:szCs w:val="20"/>
              </w:rPr>
              <w:t>Celem ogólnym</w:t>
            </w:r>
            <w:r w:rsidRPr="007465B6">
              <w:rPr>
                <w:rFonts w:ascii="Arial" w:hAnsi="Arial" w:cs="Arial"/>
                <w:sz w:val="20"/>
                <w:szCs w:val="20"/>
              </w:rPr>
              <w:t xml:space="preserve"> jest </w:t>
            </w:r>
            <w:r>
              <w:rPr>
                <w:rFonts w:ascii="Arial" w:hAnsi="Arial" w:cs="Arial"/>
                <w:sz w:val="20"/>
                <w:szCs w:val="20"/>
              </w:rPr>
              <w:t>przekazanie wiedzy na temat twórczości literackiej autorów emigrujących z krajów niemieckojęzycznych, jak i przybywających i piszących w języku niemieckim w bardzo intensywnym okresie rozwoju społeczno-politycznego XIX. i XX. wieku w Europie.</w:t>
            </w:r>
          </w:p>
          <w:p w:rsidR="00161A87" w:rsidRPr="007465B6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studentów koncentruje się wokół analizy wybranych utworów literackich, dyskusji i próby analizy przedstawionych zagadnień w aspekcie aktualnej sytuacji historycznoliterackiej, jak i samodzielnej pracy z wybranymi tematami/zagadnieniami.</w:t>
            </w:r>
          </w:p>
          <w:p w:rsidR="00161A87" w:rsidRDefault="00161A87" w:rsidP="0027427A">
            <w:pPr>
              <w:jc w:val="both"/>
              <w:rPr>
                <w:rFonts w:cs="Arial"/>
                <w:sz w:val="20"/>
                <w:szCs w:val="20"/>
              </w:rPr>
            </w:pPr>
          </w:p>
          <w:p w:rsidR="00161A87" w:rsidRPr="00B72DE3" w:rsidRDefault="00161A87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161A87" w:rsidRPr="00B72DE3" w:rsidRDefault="00161A87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Student:</w:t>
            </w:r>
          </w:p>
          <w:p w:rsidR="00161A87" w:rsidRPr="00B72DE3" w:rsidRDefault="00161A87" w:rsidP="0027427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potrafi dokonać krytycznej</w:t>
            </w:r>
            <w:r>
              <w:rPr>
                <w:rFonts w:ascii="Arial" w:hAnsi="Arial" w:cs="Arial"/>
                <w:sz w:val="20"/>
                <w:szCs w:val="20"/>
              </w:rPr>
              <w:t xml:space="preserve"> analizy i interpretacji utworów literackich</w:t>
            </w:r>
          </w:p>
          <w:p w:rsidR="00161A87" w:rsidRPr="00B72DE3" w:rsidRDefault="00161A87" w:rsidP="0027427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potrafi dokonać analizy kont</w:t>
            </w:r>
            <w:r>
              <w:rPr>
                <w:rFonts w:ascii="Arial" w:hAnsi="Arial" w:cs="Arial"/>
                <w:sz w:val="20"/>
                <w:szCs w:val="20"/>
              </w:rPr>
              <w:t>ekstu kulturowego, społecznego oraz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historycznego </w:t>
            </w:r>
            <w:r>
              <w:rPr>
                <w:rFonts w:ascii="Arial" w:hAnsi="Arial" w:cs="Arial"/>
                <w:sz w:val="20"/>
                <w:szCs w:val="20"/>
              </w:rPr>
              <w:t xml:space="preserve">i politycznego 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w odniesieniu </w:t>
            </w: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Pr="00B72DE3">
              <w:rPr>
                <w:rFonts w:ascii="Arial" w:hAnsi="Arial" w:cs="Arial"/>
                <w:sz w:val="20"/>
                <w:szCs w:val="20"/>
              </w:rPr>
              <w:t>o omawianych utworów</w:t>
            </w:r>
          </w:p>
          <w:p w:rsidR="00161A87" w:rsidRDefault="00161A87" w:rsidP="0027427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potrafi umiejscowić wybrane dzieła literackie w szerszym kontekście </w:t>
            </w:r>
            <w:r>
              <w:rPr>
                <w:rFonts w:ascii="Arial" w:hAnsi="Arial" w:cs="Arial"/>
                <w:sz w:val="20"/>
                <w:szCs w:val="20"/>
              </w:rPr>
              <w:t>procesu historycznoliterackiego</w:t>
            </w:r>
          </w:p>
          <w:p w:rsidR="00161A87" w:rsidRPr="00B72DE3" w:rsidRDefault="00161A87" w:rsidP="0027427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potrafi dostrzec zależnośc</w:t>
            </w:r>
            <w:r>
              <w:rPr>
                <w:rFonts w:ascii="Arial" w:hAnsi="Arial" w:cs="Arial"/>
                <w:sz w:val="20"/>
                <w:szCs w:val="20"/>
              </w:rPr>
              <w:t>i, w tym podobieństwa</w:t>
            </w:r>
            <w:r w:rsidRPr="00571582">
              <w:rPr>
                <w:rFonts w:ascii="Arial" w:hAnsi="Arial" w:cs="Arial"/>
                <w:sz w:val="20"/>
                <w:szCs w:val="20"/>
              </w:rPr>
              <w:t xml:space="preserve"> i różnice pomiędzy analizowanymi utworami</w:t>
            </w:r>
          </w:p>
          <w:p w:rsidR="00161A87" w:rsidRDefault="00161A87" w:rsidP="0027427A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potrafi uczestniczyć w dyskusji naukowej</w:t>
            </w:r>
            <w:r>
              <w:rPr>
                <w:rFonts w:ascii="Arial" w:hAnsi="Arial" w:cs="Arial"/>
                <w:sz w:val="20"/>
                <w:szCs w:val="20"/>
              </w:rPr>
              <w:t xml:space="preserve"> rozumiejąc specyfikę dyskursu literaturoznawczego</w:t>
            </w:r>
          </w:p>
          <w:p w:rsidR="00161A87" w:rsidRDefault="00161A87" w:rsidP="0027427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161A87" w:rsidRPr="0051562F" w:rsidRDefault="00161A87" w:rsidP="0027427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161A87" w:rsidRPr="00B72DE3" w:rsidRDefault="00161A87" w:rsidP="0027427A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E72EDD">
              <w:rPr>
                <w:rFonts w:ascii="Helvetica" w:eastAsia="Cambria" w:hAnsi="Helvetica" w:cs="Helvetica"/>
                <w:sz w:val="22"/>
                <w:szCs w:val="22"/>
                <w:lang w:eastAsia="en-US"/>
              </w:rPr>
              <w:t xml:space="preserve">  </w:t>
            </w: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Warunki wstępne</w:t>
      </w: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61A87" w:rsidRPr="00B72DE3" w:rsidTr="0027427A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161A87" w:rsidRPr="00B72DE3" w:rsidRDefault="00161A87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61A87" w:rsidRPr="00B72DE3" w:rsidRDefault="00161A87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Znajomość teorii literatury, historii literatury niemieckojęzycznej oraz procesów historycznoliterackich na poziomie studiów filologii germańskiej I stopnia</w:t>
            </w:r>
          </w:p>
        </w:tc>
      </w:tr>
      <w:tr w:rsidR="00161A87" w:rsidRPr="00B72DE3" w:rsidTr="0027427A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161A87" w:rsidRPr="00B72DE3" w:rsidRDefault="00161A87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161A87" w:rsidRPr="00B72DE3" w:rsidRDefault="00161A87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Umiejętność krytycznej analizy tekstów literackich, kompetencje językowe na poziomie C1</w:t>
            </w:r>
          </w:p>
        </w:tc>
      </w:tr>
      <w:tr w:rsidR="00161A87" w:rsidRPr="00B72DE3" w:rsidTr="0027427A">
        <w:tc>
          <w:tcPr>
            <w:tcW w:w="194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161A87" w:rsidRPr="00B72DE3" w:rsidRDefault="00161A87" w:rsidP="0027427A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Kursy literaturoznawcze na studiach I stopnia z zakresu filologii germańskiej</w:t>
            </w:r>
          </w:p>
          <w:p w:rsidR="00161A87" w:rsidRPr="00B72DE3" w:rsidRDefault="00161A87" w:rsidP="0027427A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 xml:space="preserve">Efekty kształcenia </w:t>
      </w: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161A87" w:rsidRPr="00B72DE3" w:rsidTr="0027427A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A87" w:rsidRPr="00B72DE3" w:rsidTr="0027427A">
        <w:trPr>
          <w:cantSplit/>
          <w:trHeight w:val="1838"/>
        </w:trPr>
        <w:tc>
          <w:tcPr>
            <w:tcW w:w="1979" w:type="dxa"/>
            <w:vMerge/>
          </w:tcPr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801D44" w:rsidRPr="00801D44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801D4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W01: </w:t>
            </w:r>
            <w:r w:rsidR="00801D44" w:rsidRPr="00801D44">
              <w:rPr>
                <w:rFonts w:ascii="Arial" w:hAnsi="Arial" w:cs="Arial"/>
                <w:sz w:val="20"/>
                <w:szCs w:val="20"/>
              </w:rPr>
              <w:t>ma pogłębioną i poszerzoną wiedzę o specyfice przedmiotowej i metodologicznej nauk filologicznych, a zwłaszcza filologii germańskiej;</w:t>
            </w:r>
          </w:p>
          <w:p w:rsidR="00801D44" w:rsidRDefault="00801D44" w:rsidP="00801D44">
            <w:pPr>
              <w:rPr>
                <w:rFonts w:ascii="Arial" w:hAnsi="Arial" w:cs="Arial"/>
                <w:sz w:val="20"/>
                <w:szCs w:val="20"/>
              </w:rPr>
            </w:pPr>
            <w:r w:rsidRPr="00801D44">
              <w:rPr>
                <w:rFonts w:ascii="Arial" w:hAnsi="Arial" w:cs="Arial"/>
                <w:sz w:val="20"/>
                <w:szCs w:val="20"/>
              </w:rPr>
              <w:t xml:space="preserve">W02: zna specjalistyczną terminologię i teorię z zakresu filologii, zwłaszcza filologii germańskiej, ze szczególnym uwzględnieniem literaturoznawstwa; </w:t>
            </w:r>
          </w:p>
          <w:p w:rsidR="00161A87" w:rsidRPr="00801D44" w:rsidRDefault="00161A87" w:rsidP="00801D44">
            <w:pPr>
              <w:rPr>
                <w:rFonts w:ascii="Arial" w:hAnsi="Arial" w:cs="Arial"/>
                <w:sz w:val="20"/>
                <w:szCs w:val="20"/>
              </w:rPr>
            </w:pPr>
            <w:r w:rsidRPr="00801D4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W0</w:t>
            </w:r>
            <w:r w:rsidR="00801D44" w:rsidRPr="00801D44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 xml:space="preserve">3: </w:t>
            </w:r>
            <w:r w:rsidR="00801D44" w:rsidRPr="00801D44">
              <w:rPr>
                <w:rFonts w:ascii="Arial" w:hAnsi="Arial" w:cs="Arial"/>
                <w:sz w:val="20"/>
                <w:szCs w:val="20"/>
              </w:rPr>
              <w:t>posiada pogłębioną wiedzę o powiązaniach dziedzin nauki i dyscyplin naukowych właściwych dla filologii, zwłaszcza filologii germańskiej (ze szczególnym uwzględnieniem literaturoznawstwa), pozwalającą na integrowanie perspektyw właściwych dla kilku dyscyplin</w:t>
            </w:r>
          </w:p>
          <w:p w:rsidR="00161A87" w:rsidRPr="00801D44" w:rsidRDefault="00801D44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1D44">
              <w:rPr>
                <w:rFonts w:ascii="Arial" w:hAnsi="Arial" w:cs="Arial"/>
                <w:sz w:val="20"/>
                <w:szCs w:val="20"/>
              </w:rPr>
              <w:t>W04: ma pogłębioną wiedzę o kompleksowej naturze i zmienności zjawisk kulturowych, w tym literackich, dziejowych i językowych</w:t>
            </w:r>
          </w:p>
        </w:tc>
        <w:tc>
          <w:tcPr>
            <w:tcW w:w="2365" w:type="dxa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K2_</w:t>
            </w:r>
            <w:r w:rsidRPr="00571582"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 w:rsidR="00A961B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K2_</w:t>
            </w:r>
            <w:r w:rsidRPr="00571582">
              <w:rPr>
                <w:rFonts w:ascii="Arial" w:hAnsi="Arial" w:cs="Arial"/>
                <w:sz w:val="20"/>
                <w:szCs w:val="20"/>
              </w:rPr>
              <w:softHyphen/>
              <w:t>W0</w:t>
            </w:r>
            <w:r w:rsidR="00A961B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61A87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</w:t>
            </w:r>
            <w:r w:rsidR="00A961B3"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Pr="00B72DE3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</w:t>
            </w:r>
            <w:r w:rsidR="00A961B3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61A87" w:rsidRPr="00B72DE3" w:rsidTr="0027427A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A87" w:rsidRPr="00B72DE3" w:rsidTr="0027427A">
        <w:trPr>
          <w:cantSplit/>
          <w:trHeight w:val="2116"/>
        </w:trPr>
        <w:tc>
          <w:tcPr>
            <w:tcW w:w="1985" w:type="dxa"/>
            <w:vMerge/>
          </w:tcPr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161A87" w:rsidRPr="00A961B3" w:rsidRDefault="00161A87" w:rsidP="00A961B3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A961B3">
              <w:rPr>
                <w:rFonts w:ascii="Arial" w:hAnsi="Arial" w:cs="Arial"/>
                <w:sz w:val="20"/>
                <w:szCs w:val="20"/>
              </w:rPr>
              <w:t xml:space="preserve">U01: </w:t>
            </w:r>
            <w:r w:rsidR="00A961B3" w:rsidRPr="00A961B3">
              <w:rPr>
                <w:rFonts w:ascii="Arial" w:hAnsi="Arial" w:cs="Arial"/>
                <w:sz w:val="20"/>
                <w:szCs w:val="20"/>
              </w:rPr>
              <w:t>wyszukuje, analizuje, ocenia, selekcjonuje i użytkuje informację z wykorzystaniem różnych źródeł oraz formułować na tej podstawie krytyczne sądy</w:t>
            </w:r>
          </w:p>
          <w:p w:rsidR="00A961B3" w:rsidRPr="00A961B3" w:rsidRDefault="00801D44" w:rsidP="00A961B3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A961B3">
              <w:rPr>
                <w:rFonts w:ascii="Arial" w:hAnsi="Arial" w:cs="Arial"/>
                <w:sz w:val="20"/>
                <w:szCs w:val="20"/>
              </w:rPr>
              <w:t xml:space="preserve">U02: </w:t>
            </w:r>
            <w:r w:rsidR="00A961B3" w:rsidRPr="00A961B3">
              <w:rPr>
                <w:rFonts w:ascii="Arial" w:hAnsi="Arial" w:cs="Arial"/>
                <w:sz w:val="20"/>
                <w:szCs w:val="20"/>
              </w:rPr>
              <w:t>formułuje i analizuje problemy badawcze w zakresie językoznawstwa (w tym językoznawstwa stosowanego), literaturoznawstwa oraz kultury i historii krajów danego obszaru językowego w sposób pogłębiony</w:t>
            </w:r>
          </w:p>
          <w:p w:rsidR="00A961B3" w:rsidRPr="00A961B3" w:rsidRDefault="00801D44" w:rsidP="00A961B3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A961B3">
              <w:rPr>
                <w:rFonts w:ascii="Arial" w:hAnsi="Arial" w:cs="Arial"/>
                <w:sz w:val="20"/>
                <w:szCs w:val="20"/>
              </w:rPr>
              <w:t>U0</w:t>
            </w:r>
            <w:r w:rsidR="00A961B3" w:rsidRPr="00A961B3">
              <w:rPr>
                <w:rFonts w:ascii="Arial" w:hAnsi="Arial" w:cs="Arial"/>
                <w:sz w:val="20"/>
                <w:szCs w:val="20"/>
              </w:rPr>
              <w:t>5</w:t>
            </w:r>
            <w:r w:rsidRPr="00A961B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A961B3" w:rsidRPr="00A961B3">
              <w:rPr>
                <w:rFonts w:ascii="Arial" w:hAnsi="Arial" w:cs="Arial"/>
                <w:sz w:val="20"/>
                <w:szCs w:val="20"/>
              </w:rPr>
              <w:t>przeprowadza krytyczną analizę i interpretację różnych rodzajów wytworów kultury, stosując oryginalne podejścia, uwzględniające nowe osiągnięcia humanistyki, w celu określenia ich znaczeń, oddziaływania społecznego, miejsca w procesie historyczno-kulturowym</w:t>
            </w:r>
          </w:p>
          <w:p w:rsidR="00801D44" w:rsidRPr="008B67FA" w:rsidRDefault="00801D44" w:rsidP="0027427A">
            <w:pPr>
              <w:rPr>
                <w:rFonts w:cs="Arial"/>
                <w:sz w:val="20"/>
                <w:szCs w:val="20"/>
              </w:rPr>
            </w:pPr>
            <w:r w:rsidRPr="00A961B3">
              <w:rPr>
                <w:rFonts w:ascii="Arial" w:hAnsi="Arial" w:cs="Arial"/>
                <w:sz w:val="20"/>
                <w:szCs w:val="20"/>
              </w:rPr>
              <w:t>U</w:t>
            </w:r>
            <w:r w:rsidR="00A961B3" w:rsidRPr="00A961B3">
              <w:rPr>
                <w:rFonts w:ascii="Arial" w:hAnsi="Arial" w:cs="Arial"/>
                <w:sz w:val="20"/>
                <w:szCs w:val="20"/>
              </w:rPr>
              <w:t>10</w:t>
            </w:r>
            <w:r w:rsidRPr="00A961B3">
              <w:rPr>
                <w:rFonts w:ascii="Arial" w:hAnsi="Arial" w:cs="Arial"/>
                <w:sz w:val="20"/>
                <w:szCs w:val="20"/>
              </w:rPr>
              <w:t>: przygotowuje kompleksowe wystąpienia ustne i prezentacje w języku niemieckim</w:t>
            </w:r>
          </w:p>
        </w:tc>
        <w:tc>
          <w:tcPr>
            <w:tcW w:w="2410" w:type="dxa"/>
          </w:tcPr>
          <w:p w:rsidR="00161A87" w:rsidRPr="00571582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</w:t>
            </w:r>
            <w:r w:rsidR="00A961B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K2_U0</w:t>
            </w:r>
            <w:r w:rsidR="00A961B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Pr="00571582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</w:t>
            </w:r>
            <w:r w:rsidR="00A961B3">
              <w:rPr>
                <w:rFonts w:ascii="Arial" w:hAnsi="Arial" w:cs="Arial"/>
                <w:sz w:val="20"/>
                <w:szCs w:val="20"/>
              </w:rPr>
              <w:t>5</w:t>
            </w:r>
          </w:p>
          <w:p w:rsidR="00161A87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801D44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</w:p>
          <w:p w:rsidR="00161A87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K2_U10</w:t>
            </w:r>
          </w:p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161A87" w:rsidRPr="00B72DE3" w:rsidTr="0027427A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161A87" w:rsidRPr="00B72DE3" w:rsidTr="003D686D">
        <w:trPr>
          <w:cantSplit/>
          <w:trHeight w:val="1190"/>
        </w:trPr>
        <w:tc>
          <w:tcPr>
            <w:tcW w:w="1985" w:type="dxa"/>
            <w:vMerge/>
          </w:tcPr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D686D" w:rsidRPr="003D686D" w:rsidRDefault="00161A87" w:rsidP="003D686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3D686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</w:t>
            </w:r>
            <w:r w:rsidR="003D686D" w:rsidRPr="003D686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3</w:t>
            </w:r>
            <w:r w:rsidRPr="003D686D"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:</w:t>
            </w:r>
            <w:r w:rsidR="00801D44" w:rsidRPr="003D686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D686D" w:rsidRPr="003D686D">
              <w:rPr>
                <w:rFonts w:ascii="Arial" w:hAnsi="Arial" w:cs="Arial"/>
                <w:sz w:val="20"/>
                <w:szCs w:val="20"/>
              </w:rPr>
              <w:t>systematycznie uczestniczy w życiu kulturalnym, interesuje się aktualnymi wydarzeniami kulturalnymi, nowatorskimi formami wyrazu artystycznego, nowymi zjawiskami w sztuce</w:t>
            </w:r>
          </w:p>
          <w:p w:rsidR="00801D44" w:rsidRPr="003D686D" w:rsidRDefault="00801D44" w:rsidP="003D686D">
            <w:pPr>
              <w:widowControl/>
              <w:suppressAutoHyphens w:val="0"/>
              <w:autoSpaceDE/>
              <w:rPr>
                <w:rFonts w:ascii="Arial" w:hAnsi="Arial" w:cs="Arial"/>
                <w:sz w:val="20"/>
                <w:szCs w:val="20"/>
              </w:rPr>
            </w:pPr>
            <w:r w:rsidRPr="003D686D">
              <w:rPr>
                <w:rFonts w:ascii="Arial" w:hAnsi="Arial" w:cs="Arial"/>
                <w:sz w:val="20"/>
                <w:szCs w:val="20"/>
              </w:rPr>
              <w:t>K0</w:t>
            </w:r>
            <w:r w:rsidR="003D686D" w:rsidRPr="003D686D">
              <w:rPr>
                <w:rFonts w:ascii="Arial" w:hAnsi="Arial" w:cs="Arial"/>
                <w:sz w:val="20"/>
                <w:szCs w:val="20"/>
              </w:rPr>
              <w:t>4</w:t>
            </w:r>
            <w:r w:rsidRPr="003D686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3D686D" w:rsidRPr="003D686D">
              <w:rPr>
                <w:rFonts w:ascii="Arial" w:hAnsi="Arial" w:cs="Arial"/>
                <w:sz w:val="20"/>
                <w:szCs w:val="20"/>
              </w:rPr>
              <w:t>krytycznie ocenia odbierane treści</w:t>
            </w:r>
          </w:p>
        </w:tc>
        <w:tc>
          <w:tcPr>
            <w:tcW w:w="2410" w:type="dxa"/>
          </w:tcPr>
          <w:p w:rsidR="00161A87" w:rsidRPr="003D686D" w:rsidRDefault="00801D44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3D686D">
              <w:rPr>
                <w:rFonts w:ascii="Arial" w:hAnsi="Arial" w:cs="Arial"/>
                <w:sz w:val="20"/>
                <w:szCs w:val="20"/>
              </w:rPr>
              <w:t>K2_K03</w:t>
            </w:r>
          </w:p>
          <w:p w:rsidR="00161A87" w:rsidRPr="003D686D" w:rsidRDefault="00161A87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1D44" w:rsidRPr="003D686D" w:rsidRDefault="00801D44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1D44" w:rsidRPr="003D686D" w:rsidRDefault="00801D44" w:rsidP="0027427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61A87" w:rsidRPr="003D686D" w:rsidRDefault="00801D44" w:rsidP="003D68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686D"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161A87" w:rsidRPr="00B72DE3" w:rsidTr="0027427A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161A87" w:rsidRPr="00B72DE3" w:rsidTr="0027427A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161A87" w:rsidRPr="00B72DE3" w:rsidTr="0027427A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B72DE3" w:rsidTr="0027427A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B72DE3" w:rsidTr="0027427A">
        <w:trPr>
          <w:trHeight w:val="462"/>
        </w:trPr>
        <w:tc>
          <w:tcPr>
            <w:tcW w:w="1611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Opis metod prowadzenia zajęć</w:t>
      </w: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61A87" w:rsidRPr="00B72DE3" w:rsidTr="0027427A">
        <w:trPr>
          <w:trHeight w:val="1286"/>
        </w:trPr>
        <w:tc>
          <w:tcPr>
            <w:tcW w:w="9622" w:type="dxa"/>
          </w:tcPr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komunikacyjna oraz zadaniowa</w:t>
            </w:r>
          </w:p>
          <w:p w:rsidR="00161A87" w:rsidRPr="00B72DE3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podające (wykład informacyjny), eksponujące, problemowe (wykład problemowy), aktywizujące</w:t>
            </w:r>
          </w:p>
          <w:p w:rsidR="00161A87" w:rsidRPr="00B72DE3" w:rsidRDefault="00161A87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Metoda projektowa</w:t>
            </w:r>
          </w:p>
          <w:p w:rsidR="00161A87" w:rsidRPr="00B72DE3" w:rsidRDefault="00161A87" w:rsidP="0027427A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Metody wspierające autonomiczne uczenie się</w:t>
            </w:r>
          </w:p>
        </w:tc>
      </w:tr>
    </w:tbl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Formy sprawdzania efektów kształcenia</w:t>
      </w:r>
    </w:p>
    <w:p w:rsidR="00161A87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161A87" w:rsidRPr="00B72DE3" w:rsidTr="0027427A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B72DE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161A87" w:rsidRPr="00B72DE3" w:rsidRDefault="00161A87" w:rsidP="0027427A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161A87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W0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BC5016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W04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 w:rsidR="00BC501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U0</w:t>
            </w:r>
            <w:r w:rsidR="00BC50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BC5016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</w:t>
            </w:r>
            <w:r w:rsidR="003D686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BC5016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3D686D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 w:rsidR="003D686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161A87" w:rsidP="00161A87">
            <w:pPr>
              <w:jc w:val="center"/>
              <w:rPr>
                <w:rFonts w:ascii="Arial" w:hAnsi="Arial" w:cs="Arial"/>
              </w:rPr>
            </w:pPr>
            <w:r w:rsidRPr="00161A87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1A87" w:rsidRPr="00571582" w:rsidTr="0027427A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K0</w:t>
            </w:r>
            <w:r w:rsidR="003D686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20B85" w:rsidRDefault="00161A87" w:rsidP="0027427A">
            <w:pPr>
              <w:rPr>
                <w:rFonts w:ascii="Arial" w:hAnsi="Arial" w:cs="Arial"/>
                <w:b/>
                <w:caps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3D686D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71582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161A87" w:rsidRPr="00571582" w:rsidRDefault="003D686D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161A87" w:rsidRDefault="003D686D" w:rsidP="00161A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="00161A87" w:rsidRPr="00571582" w:rsidRDefault="00161A87" w:rsidP="0027427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A87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61A87" w:rsidRPr="00B72DE3" w:rsidTr="0027427A">
        <w:tc>
          <w:tcPr>
            <w:tcW w:w="194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Warunkiem uzyskania pozytywnej oceny jest regularne i aktywne uczestnictwo w zajęciach, udział w dyskusji w czasie zajęć,</w:t>
            </w:r>
            <w:r>
              <w:rPr>
                <w:rFonts w:ascii="Arial" w:hAnsi="Arial" w:cs="Arial"/>
                <w:sz w:val="20"/>
                <w:szCs w:val="20"/>
              </w:rPr>
              <w:t xml:space="preserve"> udział w projekcie indywidualnym,</w:t>
            </w:r>
            <w:r w:rsidRPr="00B72DE3">
              <w:rPr>
                <w:rFonts w:ascii="Arial" w:hAnsi="Arial" w:cs="Arial"/>
                <w:sz w:val="20"/>
                <w:szCs w:val="20"/>
              </w:rPr>
              <w:t xml:space="preserve"> przygotowanie i </w:t>
            </w:r>
            <w:r>
              <w:rPr>
                <w:rFonts w:ascii="Arial" w:hAnsi="Arial" w:cs="Arial"/>
                <w:sz w:val="20"/>
                <w:szCs w:val="20"/>
              </w:rPr>
              <w:t>wygłoszenie krótkiego referatu, pozytywny wynik egzaminu ustnego.</w:t>
            </w:r>
          </w:p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161A87" w:rsidRPr="00B72DE3" w:rsidTr="0027427A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161A87" w:rsidRPr="00B72DE3" w:rsidRDefault="00161A87" w:rsidP="0027427A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2DE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  <w:p w:rsidR="00161A87" w:rsidRPr="00B72DE3" w:rsidRDefault="00161A87" w:rsidP="0027427A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61A87" w:rsidRPr="009C1F38" w:rsidTr="0027427A">
        <w:trPr>
          <w:trHeight w:val="1509"/>
        </w:trPr>
        <w:tc>
          <w:tcPr>
            <w:tcW w:w="9622" w:type="dxa"/>
          </w:tcPr>
          <w:p w:rsidR="00161A87" w:rsidRPr="009C1F38" w:rsidRDefault="00161A87" w:rsidP="0027427A">
            <w:pPr>
              <w:overflowPunct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C1F38">
              <w:rPr>
                <w:rFonts w:ascii="Arial" w:hAnsi="Arial" w:cs="Arial"/>
                <w:sz w:val="20"/>
                <w:szCs w:val="20"/>
                <w:lang w:val="de-DE"/>
              </w:rPr>
              <w:lastRenderedPageBreak/>
              <w:t>Tematyka zajęć:</w:t>
            </w:r>
          </w:p>
          <w:p w:rsidR="00161A87" w:rsidRDefault="00161A87" w:rsidP="0027427A">
            <w:pPr>
              <w:widowControl/>
              <w:suppressAutoHyphens w:val="0"/>
              <w:autoSpaceDE/>
              <w:rPr>
                <w:rFonts w:ascii="Arial" w:eastAsia="Cambria" w:hAnsi="Arial" w:cs="Helvetica"/>
                <w:sz w:val="20"/>
                <w:szCs w:val="22"/>
                <w:lang w:eastAsia="en-US"/>
              </w:rPr>
            </w:pPr>
          </w:p>
          <w:p w:rsidR="00161A87" w:rsidRPr="00D420DA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line="276" w:lineRule="auto"/>
              <w:ind w:left="708"/>
              <w:rPr>
                <w:rFonts w:ascii="Arial" w:hAnsi="Arial" w:cs="Arial"/>
                <w:sz w:val="20"/>
                <w:szCs w:val="20"/>
              </w:rPr>
            </w:pPr>
            <w:r w:rsidRPr="00D420DA">
              <w:rPr>
                <w:rFonts w:ascii="Arial" w:hAnsi="Arial" w:cs="Arial"/>
                <w:sz w:val="20"/>
                <w:szCs w:val="20"/>
              </w:rPr>
              <w:t>Warunki historyczne w latach 1815 – 1848 jak i ukształtowanie warunków w sferze kultury.</w:t>
            </w:r>
          </w:p>
          <w:p w:rsidR="00161A87" w:rsidRPr="00547262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20DA">
              <w:rPr>
                <w:rFonts w:ascii="Arial" w:hAnsi="Arial" w:cs="Arial"/>
                <w:sz w:val="20"/>
                <w:szCs w:val="20"/>
              </w:rPr>
              <w:t xml:space="preserve">Literatura w latach 1815 - 1848 – czasopisma literackie, kawiarnie, stowarzyszenia czytelnicze, znaczenie prasy, teatru etc. </w:t>
            </w:r>
          </w:p>
          <w:p w:rsidR="00161A87" w:rsidRPr="00547262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547262">
              <w:rPr>
                <w:rFonts w:ascii="Arial" w:hAnsi="Arial" w:cs="Arial"/>
                <w:sz w:val="20"/>
                <w:szCs w:val="20"/>
              </w:rPr>
              <w:t>Omówienie tworczości wybranych autorów, np.: Heinrich Heine, Ludwig Börne, Adolf Glassbrenner, Karl Gutzkow, Heinrich Laube, Franz Dingelstedt.</w:t>
            </w:r>
          </w:p>
          <w:p w:rsidR="00161A87" w:rsidRPr="00D420DA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  <w:r w:rsidRPr="00D420DA">
              <w:rPr>
                <w:rFonts w:ascii="Arial" w:hAnsi="Arial" w:cs="Arial"/>
                <w:sz w:val="20"/>
                <w:szCs w:val="20"/>
              </w:rPr>
              <w:t>Sytuacja społeczno-polityczna w pierwszej połowie XX. Wieku</w:t>
            </w:r>
            <w:r>
              <w:rPr>
                <w:rFonts w:ascii="Arial" w:hAnsi="Arial" w:cs="Arial"/>
                <w:sz w:val="20"/>
                <w:szCs w:val="20"/>
              </w:rPr>
              <w:t xml:space="preserve"> w Niemczech.</w:t>
            </w:r>
          </w:p>
          <w:p w:rsidR="00161A87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eastAsia="Cambria" w:hAnsi="Arial" w:cs="Arial"/>
                <w:sz w:val="20"/>
                <w:szCs w:val="20"/>
                <w:lang w:eastAsia="en-US"/>
              </w:rPr>
            </w:pPr>
            <w:r w:rsidRPr="00D420DA">
              <w:rPr>
                <w:rFonts w:ascii="Arial" w:eastAsia="Cambria" w:hAnsi="Arial" w:cs="Arial"/>
                <w:sz w:val="20"/>
                <w:szCs w:val="20"/>
                <w:lang w:eastAsia="en-US"/>
              </w:rPr>
              <w:t>Literatura emigrantów z k</w:t>
            </w:r>
            <w:r>
              <w:rPr>
                <w:rFonts w:ascii="Arial" w:eastAsia="Cambria" w:hAnsi="Arial" w:cs="Arial"/>
                <w:sz w:val="20"/>
                <w:szCs w:val="20"/>
                <w:lang w:eastAsia="en-US"/>
              </w:rPr>
              <w:t>rajów niemieckojęzycznych w czasach III Rzeszy</w:t>
            </w:r>
            <w:r w:rsidRPr="00D420DA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 (wybrani autorzy i ich twórczość)</w:t>
            </w:r>
          </w:p>
          <w:p w:rsidR="00161A87" w:rsidRPr="00D420DA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eastAsia="Cambria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mbria" w:hAnsi="Arial" w:cs="Arial"/>
                <w:sz w:val="20"/>
                <w:szCs w:val="20"/>
                <w:lang w:eastAsia="en-US"/>
              </w:rPr>
              <w:t>Sytuacja społeczno-polityczna przełomu XX./XXI. wieku w Niemczech</w:t>
            </w:r>
          </w:p>
          <w:p w:rsidR="00161A87" w:rsidRPr="00D420DA" w:rsidRDefault="00161A87" w:rsidP="00161A87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/>
              <w:rPr>
                <w:rFonts w:ascii="Arial" w:eastAsia="Cambria" w:hAnsi="Arial" w:cs="Arial"/>
                <w:sz w:val="20"/>
                <w:szCs w:val="20"/>
                <w:lang w:eastAsia="en-US"/>
              </w:rPr>
            </w:pPr>
            <w:r w:rsidRPr="00D420DA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Literatura imigrantów do krajów niemieckojęzycznych </w:t>
            </w:r>
            <w:r>
              <w:rPr>
                <w:rFonts w:ascii="Arial" w:eastAsia="Cambria" w:hAnsi="Arial" w:cs="Arial"/>
                <w:sz w:val="20"/>
                <w:szCs w:val="20"/>
                <w:lang w:eastAsia="en-US"/>
              </w:rPr>
              <w:t>(</w:t>
            </w:r>
            <w:r w:rsidRPr="00D420DA">
              <w:rPr>
                <w:rFonts w:ascii="Arial" w:eastAsia="Cambria" w:hAnsi="Arial" w:cs="Arial"/>
                <w:sz w:val="20"/>
                <w:szCs w:val="20"/>
                <w:lang w:eastAsia="en-US"/>
              </w:rPr>
              <w:t>wybrani autorzy i ich twórczość)</w:t>
            </w:r>
          </w:p>
          <w:p w:rsidR="00161A87" w:rsidRPr="003E27FF" w:rsidRDefault="00161A87" w:rsidP="0027427A">
            <w:pPr>
              <w:pStyle w:val="Akapitzlist"/>
              <w:widowControl/>
              <w:suppressAutoHyphens w:val="0"/>
              <w:autoSpaceDE/>
              <w:rPr>
                <w:rFonts w:ascii="Arial" w:eastAsia="Cambria" w:hAnsi="Arial" w:cs="Helvetica"/>
                <w:sz w:val="20"/>
                <w:szCs w:val="22"/>
                <w:lang w:eastAsia="en-US"/>
              </w:rPr>
            </w:pPr>
          </w:p>
        </w:tc>
      </w:tr>
    </w:tbl>
    <w:p w:rsidR="00161A87" w:rsidRPr="009C1F38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9C1F38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  <w:r w:rsidRPr="00B72DE3">
        <w:rPr>
          <w:rFonts w:ascii="Arial" w:hAnsi="Arial" w:cs="Arial"/>
          <w:sz w:val="20"/>
          <w:szCs w:val="20"/>
        </w:rPr>
        <w:t>Wykaz literatury podstawowej</w:t>
      </w:r>
    </w:p>
    <w:p w:rsidR="00161A87" w:rsidRPr="00B72DE3" w:rsidRDefault="00161A87" w:rsidP="00161A8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61A87" w:rsidRPr="003362C8" w:rsidTr="0027427A">
        <w:trPr>
          <w:trHeight w:val="1216"/>
        </w:trPr>
        <w:tc>
          <w:tcPr>
            <w:tcW w:w="9622" w:type="dxa"/>
          </w:tcPr>
          <w:p w:rsidR="00161A87" w:rsidRDefault="00161A87" w:rsidP="0027427A">
            <w:pPr>
              <w:suppressAutoHyphens w:val="0"/>
              <w:autoSpaceDN w:val="0"/>
              <w:adjustRightInd w:val="0"/>
              <w:rPr>
                <w:rFonts w:ascii="Arial" w:eastAsia="Cambria" w:hAnsi="Arial" w:cs="Helvetica"/>
                <w:sz w:val="20"/>
                <w:lang w:val="de-DE" w:eastAsia="en-US"/>
              </w:rPr>
            </w:pPr>
          </w:p>
          <w:p w:rsidR="00161A87" w:rsidRPr="003125FE" w:rsidRDefault="00161A87" w:rsidP="00161A87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125FE">
              <w:rPr>
                <w:rFonts w:ascii="Arial" w:hAnsi="Arial" w:cs="Arial"/>
                <w:b/>
                <w:sz w:val="20"/>
                <w:szCs w:val="20"/>
                <w:lang w:val="de-DE"/>
              </w:rPr>
              <w:t>Bürgerlicher Realismus und Gründerzeit</w:t>
            </w:r>
            <w:r w:rsidRPr="003125FE">
              <w:rPr>
                <w:rFonts w:ascii="Arial" w:hAnsi="Arial" w:cs="Arial"/>
                <w:sz w:val="20"/>
                <w:szCs w:val="20"/>
                <w:lang w:val="de-DE"/>
              </w:rPr>
              <w:t>, 1848-1890. Hrsg. Edward McInnes. München: 1996.</w:t>
            </w:r>
          </w:p>
          <w:p w:rsidR="00161A87" w:rsidRPr="003125FE" w:rsidRDefault="00161A87" w:rsidP="00161A87">
            <w:pPr>
              <w:pStyle w:val="Akapitzlist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3125FE">
              <w:rPr>
                <w:rFonts w:ascii="Arial" w:hAnsi="Arial" w:cs="Arial"/>
                <w:b/>
                <w:sz w:val="20"/>
                <w:szCs w:val="20"/>
                <w:lang w:val="de-DE"/>
              </w:rPr>
              <w:t>Lesestoffe zur deutschsprachigen Literatur</w:t>
            </w:r>
            <w:r w:rsidRPr="003125FE">
              <w:rPr>
                <w:rFonts w:ascii="Arial" w:hAnsi="Arial" w:cs="Arial"/>
                <w:sz w:val="20"/>
                <w:szCs w:val="20"/>
                <w:lang w:val="de-DE"/>
              </w:rPr>
              <w:t xml:space="preserve">. Von den Anfängen bis zum Vormärz. Hrsg. Dorota Kalecińska und Ewa Pytel/Bartnik. Poznań 2005. </w:t>
            </w:r>
          </w:p>
          <w:p w:rsidR="00161A87" w:rsidRPr="003125FE" w:rsidRDefault="00161A87" w:rsidP="00161A87">
            <w:pPr>
              <w:pStyle w:val="Akapitzlist"/>
              <w:numPr>
                <w:ilvl w:val="0"/>
                <w:numId w:val="4"/>
              </w:numPr>
              <w:suppressAutoHyphens w:val="0"/>
              <w:autoSpaceDN w:val="0"/>
              <w:adjustRightInd w:val="0"/>
              <w:rPr>
                <w:rFonts w:ascii="Arial" w:eastAsia="Cambria" w:hAnsi="Arial" w:cs="Arial"/>
                <w:sz w:val="20"/>
                <w:szCs w:val="20"/>
                <w:lang w:eastAsia="en-US"/>
              </w:rPr>
            </w:pPr>
            <w:r w:rsidRPr="003125FE">
              <w:rPr>
                <w:rFonts w:ascii="Arial" w:eastAsia="Cambria" w:hAnsi="Arial" w:cs="Arial"/>
                <w:b/>
                <w:sz w:val="20"/>
                <w:szCs w:val="20"/>
                <w:lang w:eastAsia="en-US"/>
              </w:rPr>
              <w:t>Literatura prymarna konkretnych autorów</w:t>
            </w:r>
            <w:r w:rsidRPr="003125FE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 omawianych w ramach zajęć. (Wiek XX - Exilliteratur, Radek Knapp, Vladimir Vertlieb, Ilija Trojanow)</w:t>
            </w:r>
          </w:p>
          <w:p w:rsidR="00161A87" w:rsidRPr="00B91A03" w:rsidRDefault="00161A87" w:rsidP="0027427A">
            <w:pPr>
              <w:suppressAutoHyphens w:val="0"/>
              <w:autoSpaceDN w:val="0"/>
              <w:adjustRightInd w:val="0"/>
              <w:ind w:left="360"/>
              <w:rPr>
                <w:rFonts w:ascii="Arial" w:eastAsia="Cambria" w:hAnsi="Arial" w:cs="Helvetica"/>
                <w:sz w:val="20"/>
                <w:lang w:eastAsia="en-US"/>
              </w:rPr>
            </w:pPr>
          </w:p>
        </w:tc>
      </w:tr>
    </w:tbl>
    <w:p w:rsidR="00161A87" w:rsidRPr="00B91A0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084877" w:rsidRDefault="00161A87" w:rsidP="00161A87">
      <w:pPr>
        <w:rPr>
          <w:rFonts w:ascii="Arial" w:hAnsi="Arial" w:cs="Arial"/>
          <w:sz w:val="20"/>
          <w:szCs w:val="20"/>
          <w:lang w:val="de-DE"/>
        </w:rPr>
      </w:pPr>
      <w:r w:rsidRPr="00084877">
        <w:rPr>
          <w:rFonts w:ascii="Arial" w:hAnsi="Arial" w:cs="Arial"/>
          <w:sz w:val="20"/>
          <w:szCs w:val="20"/>
          <w:lang w:val="de-DE"/>
        </w:rPr>
        <w:t>Wykaz literatury uzupełniającej</w:t>
      </w:r>
    </w:p>
    <w:p w:rsidR="00161A87" w:rsidRPr="00084877" w:rsidRDefault="00161A87" w:rsidP="00161A87">
      <w:pPr>
        <w:rPr>
          <w:rFonts w:ascii="Arial" w:hAnsi="Arial" w:cs="Arial"/>
          <w:sz w:val="20"/>
          <w:szCs w:val="20"/>
          <w:lang w:val="de-DE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161A87" w:rsidRPr="00161A87" w:rsidTr="0027427A">
        <w:trPr>
          <w:trHeight w:val="930"/>
        </w:trPr>
        <w:tc>
          <w:tcPr>
            <w:tcW w:w="9622" w:type="dxa"/>
          </w:tcPr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  <w:r w:rsidRPr="004111EA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Steltz, Christian: </w:t>
            </w:r>
            <w:r w:rsidRPr="004111E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de-DE"/>
              </w:rPr>
              <w:t>Migrantenliteratur</w:t>
            </w:r>
            <w:r w:rsidRPr="004111EA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. herausgegeben von Heribert Tommek, Matteo Galli und </w:t>
            </w:r>
            <w:r w:rsidRPr="00F01D1E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>Achim Geisenhanslke, Berlin 2015.</w:t>
            </w:r>
          </w:p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Style w:val="apple-converted-space"/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>Klüh, Ekaterina:</w:t>
            </w:r>
            <w:r w:rsidRPr="00F01D1E"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r w:rsidRPr="00D410E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de-DE"/>
              </w:rPr>
              <w:t>Interkulturelle Identitäten im Spiegel der Migrantenliteratur: kulturelle Metamorphosen bei Ilija Trojanow und Rumjana Zacharieva.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 Königshausen &amp; Neumann</w:t>
            </w:r>
            <w:r w:rsidRPr="00F01D1E">
              <w:rPr>
                <w:rStyle w:val="apple-converted-space"/>
                <w:rFonts w:ascii="Arial" w:hAnsi="Arial" w:cs="Arial"/>
                <w:color w:val="3A3A3A"/>
                <w:sz w:val="20"/>
                <w:szCs w:val="20"/>
                <w:lang w:val="de-DE"/>
              </w:rPr>
              <w:t>, Würzburg 1973.</w:t>
            </w:r>
          </w:p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Flinik, Joanna: </w:t>
            </w:r>
            <w:r w:rsidRPr="00D410EA">
              <w:rPr>
                <w:rFonts w:ascii="Arial" w:hAnsi="Arial" w:cs="Arial"/>
                <w:b/>
                <w:color w:val="3A3A3A"/>
                <w:sz w:val="20"/>
                <w:szCs w:val="20"/>
                <w:lang w:val="de-DE"/>
              </w:rPr>
              <w:t>Sind sie zu fremd, bist du zu deutsch. Zur gegenwärtigen deutschsprachigen Migrantenliteratur. Entwicklungen in der deutschsprachigen Gegenwartsliteratur nach 1989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 ; Carsten Gansel ... (Hg.), Göttingen, 2013.</w:t>
            </w:r>
          </w:p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Klein, Sonja: </w:t>
            </w:r>
            <w:r w:rsidRPr="00D410EA">
              <w:rPr>
                <w:rFonts w:ascii="Arial" w:hAnsi="Arial" w:cs="Arial"/>
                <w:b/>
                <w:color w:val="3A3A3A"/>
                <w:sz w:val="20"/>
                <w:szCs w:val="20"/>
                <w:lang w:val="de-DE"/>
              </w:rPr>
              <w:t>Die deutsche Exilliteratur: 1933 bis 1945; Perspektiven und Deutungen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>. Darmstadt, WBG, Wissenschaftliche Buchges, 2015.</w:t>
            </w:r>
          </w:p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</w:rPr>
            </w:pP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Bannasch, Bettina: </w:t>
            </w:r>
            <w:r w:rsidRPr="00D410EA">
              <w:rPr>
                <w:rFonts w:ascii="Arial" w:hAnsi="Arial" w:cs="Arial"/>
                <w:b/>
                <w:color w:val="3A3A3A"/>
                <w:sz w:val="20"/>
                <w:szCs w:val="20"/>
                <w:lang w:val="de-DE"/>
              </w:rPr>
              <w:t>Handbuch der deutschsprachigen Exilliteratur: von Heinrich Heine bis Herta Müller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. 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</w:rPr>
              <w:t>Berlin [u.a.]: de Gruyter</w:t>
            </w:r>
            <w:r w:rsidRPr="00F01D1E">
              <w:rPr>
                <w:rStyle w:val="apple-converted-space"/>
                <w:rFonts w:ascii="Arial" w:hAnsi="Arial" w:cs="Arial"/>
                <w:color w:val="3A3A3A"/>
                <w:sz w:val="20"/>
                <w:szCs w:val="20"/>
              </w:rPr>
              <w:t> </w:t>
            </w:r>
            <w:r w:rsidRPr="00F01D1E">
              <w:rPr>
                <w:rStyle w:val="media-delimiter"/>
                <w:rFonts w:ascii="Arial" w:hAnsi="Arial" w:cs="Arial"/>
                <w:color w:val="3A3A3A"/>
                <w:sz w:val="20"/>
                <w:szCs w:val="20"/>
              </w:rPr>
              <w:t>;</w:t>
            </w:r>
            <w:r w:rsidRPr="00F01D1E">
              <w:rPr>
                <w:rStyle w:val="apple-converted-space"/>
                <w:rFonts w:ascii="Arial" w:hAnsi="Arial" w:cs="Arial"/>
                <w:color w:val="3A3A3A"/>
                <w:sz w:val="20"/>
                <w:szCs w:val="20"/>
              </w:rPr>
              <w:t> </w:t>
            </w:r>
            <w:r w:rsidRPr="00F01D1E">
              <w:rPr>
                <w:rFonts w:ascii="Arial" w:hAnsi="Arial" w:cs="Arial"/>
                <w:color w:val="3A3A3A"/>
                <w:sz w:val="20"/>
                <w:szCs w:val="20"/>
              </w:rPr>
              <w:t>2013</w:t>
            </w:r>
          </w:p>
          <w:p w:rsidR="00161A87" w:rsidRPr="003125F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3125F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Walter, Hans-Albert: </w:t>
            </w:r>
            <w:r w:rsidRPr="003125FE">
              <w:rPr>
                <w:rFonts w:ascii="Arial" w:hAnsi="Arial" w:cs="Arial"/>
                <w:b/>
                <w:color w:val="3A3A3A"/>
                <w:sz w:val="20"/>
                <w:szCs w:val="20"/>
                <w:lang w:val="de-DE"/>
              </w:rPr>
              <w:t>Deutsche Exilliteratur: 1933-1950: Band 1: Die Vorgeschichte des Exils und seine erste Phase: Band 2: Weimarische Linksintellektuelle im Spannungsfeld von Aktionen und Repressionen</w:t>
            </w:r>
            <w:r w:rsidRPr="003125F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>. Stuttgart : J.B. Metzler Verlag</w:t>
            </w:r>
            <w:r w:rsidRPr="003125FE">
              <w:rPr>
                <w:rStyle w:val="apple-converted-space"/>
                <w:rFonts w:ascii="Arial" w:hAnsi="Arial" w:cs="Arial"/>
                <w:color w:val="3A3A3A"/>
                <w:sz w:val="20"/>
                <w:szCs w:val="20"/>
                <w:lang w:val="de-DE"/>
              </w:rPr>
              <w:t xml:space="preserve"> </w:t>
            </w:r>
            <w:r w:rsidRPr="003125FE"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  <w:t>2017.</w:t>
            </w:r>
          </w:p>
          <w:p w:rsidR="00161A87" w:rsidRPr="003125F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3125FE">
              <w:rPr>
                <w:rFonts w:ascii="Arial" w:hAnsi="Arial" w:cs="Arial"/>
                <w:b/>
                <w:sz w:val="20"/>
                <w:szCs w:val="20"/>
                <w:lang w:val="de-DE"/>
              </w:rPr>
              <w:t>Vormärz</w:t>
            </w:r>
            <w:r w:rsidRPr="003125FE">
              <w:rPr>
                <w:rFonts w:ascii="Arial" w:hAnsi="Arial" w:cs="Arial"/>
                <w:sz w:val="20"/>
                <w:szCs w:val="20"/>
                <w:lang w:val="de-DE"/>
              </w:rPr>
              <w:t>. Hrsg. Flor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i</w:t>
            </w:r>
            <w:r w:rsidRPr="003125FE">
              <w:rPr>
                <w:rFonts w:ascii="Arial" w:hAnsi="Arial" w:cs="Arial"/>
                <w:sz w:val="20"/>
                <w:szCs w:val="20"/>
                <w:lang w:val="de-DE"/>
              </w:rPr>
              <w:t>an Vassen. Stuttgart, 1993.</w:t>
            </w:r>
          </w:p>
          <w:p w:rsidR="00161A87" w:rsidRPr="003125F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3A3A3A"/>
                <w:sz w:val="20"/>
                <w:szCs w:val="20"/>
                <w:lang w:val="de-DE"/>
              </w:rPr>
            </w:pPr>
            <w:r w:rsidRPr="003125FE">
              <w:rPr>
                <w:rFonts w:ascii="Arial" w:hAnsi="Arial" w:cs="Arial"/>
                <w:b/>
                <w:sz w:val="20"/>
                <w:szCs w:val="20"/>
                <w:lang w:val="de-DE"/>
              </w:rPr>
              <w:t>Die politische Lyrik</w:t>
            </w:r>
            <w:r w:rsidRPr="003125FE">
              <w:rPr>
                <w:rFonts w:ascii="Arial" w:hAnsi="Arial" w:cs="Arial"/>
                <w:sz w:val="20"/>
                <w:szCs w:val="20"/>
                <w:lang w:val="de-DE"/>
              </w:rPr>
              <w:t xml:space="preserve"> des Vormärz. Hrsg. Otto Rommel. Wien: 1912.</w:t>
            </w:r>
          </w:p>
          <w:p w:rsidR="00161A87" w:rsidRPr="00F01D1E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10EA">
              <w:rPr>
                <w:rFonts w:ascii="Arial" w:eastAsia="Cambria" w:hAnsi="Arial" w:cs="Arial"/>
                <w:b/>
                <w:sz w:val="20"/>
                <w:szCs w:val="20"/>
                <w:lang w:eastAsia="en-US"/>
              </w:rPr>
              <w:t>Wybrany leksykon</w:t>
            </w:r>
            <w:r w:rsidRPr="00F01D1E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 historii literatury niemieckojęzycznej wieku XIX i XX</w:t>
            </w:r>
          </w:p>
          <w:p w:rsidR="00161A87" w:rsidRPr="00161A87" w:rsidRDefault="00161A87" w:rsidP="00161A87">
            <w:pPr>
              <w:pStyle w:val="Akapitzlist"/>
              <w:numPr>
                <w:ilvl w:val="0"/>
                <w:numId w:val="3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410EA">
              <w:rPr>
                <w:rFonts w:ascii="Arial" w:eastAsia="Cambria" w:hAnsi="Arial" w:cs="Arial"/>
                <w:b/>
                <w:sz w:val="20"/>
                <w:szCs w:val="20"/>
                <w:lang w:eastAsia="en-US"/>
              </w:rPr>
              <w:t>Artykuły prasowe i felietony</w:t>
            </w:r>
            <w:r w:rsidRPr="004111EA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Cambria" w:hAnsi="Arial" w:cs="Arial"/>
                <w:sz w:val="20"/>
                <w:szCs w:val="20"/>
                <w:lang w:eastAsia="en-US"/>
              </w:rPr>
              <w:t>na temat wybranej</w:t>
            </w:r>
            <w:r w:rsidRPr="004111EA">
              <w:rPr>
                <w:rFonts w:ascii="Arial" w:eastAsia="Cambria" w:hAnsi="Arial" w:cs="Arial"/>
                <w:sz w:val="20"/>
                <w:szCs w:val="20"/>
                <w:lang w:eastAsia="en-US"/>
              </w:rPr>
              <w:t xml:space="preserve"> literatury emigrantów i imigrantów.</w:t>
            </w:r>
          </w:p>
          <w:p w:rsidR="00161A87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61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61A87">
              <w:rPr>
                <w:rFonts w:ascii="Arial" w:hAnsi="Arial" w:cs="Arial"/>
                <w:sz w:val="20"/>
                <w:szCs w:val="20"/>
                <w:lang w:val="de-DE"/>
              </w:rPr>
              <w:t xml:space="preserve">Dingelstedt, Franz: </w:t>
            </w:r>
            <w:r w:rsidRPr="00161A87">
              <w:rPr>
                <w:rFonts w:ascii="Arial" w:hAnsi="Arial" w:cs="Arial"/>
                <w:b/>
                <w:sz w:val="20"/>
                <w:szCs w:val="20"/>
                <w:lang w:val="de-DE"/>
              </w:rPr>
              <w:t>Lieder eines kosmopolitischen Nachtwächters</w:t>
            </w:r>
            <w:r w:rsidRPr="00161A87">
              <w:rPr>
                <w:rFonts w:ascii="Arial" w:hAnsi="Arial" w:cs="Arial"/>
                <w:sz w:val="20"/>
                <w:szCs w:val="20"/>
                <w:lang w:val="de-DE"/>
              </w:rPr>
              <w:t xml:space="preserve">. </w:t>
            </w:r>
            <w:r w:rsidRPr="00161A87">
              <w:rPr>
                <w:rFonts w:ascii="Arial" w:hAnsi="Arial" w:cs="Arial"/>
                <w:sz w:val="20"/>
                <w:szCs w:val="20"/>
              </w:rPr>
              <w:t xml:space="preserve">Hamburg: 1842. (elektr. </w:t>
            </w:r>
            <w:r>
              <w:rPr>
                <w:rFonts w:ascii="Arial" w:hAnsi="Arial" w:cs="Arial"/>
                <w:sz w:val="20"/>
                <w:szCs w:val="20"/>
              </w:rPr>
              <w:t>Source)</w:t>
            </w:r>
          </w:p>
          <w:p w:rsidR="00161A87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r w:rsidRPr="00161A87">
              <w:rPr>
                <w:rFonts w:ascii="Arial" w:hAnsi="Arial" w:cs="Arial"/>
                <w:sz w:val="20"/>
                <w:szCs w:val="20"/>
                <w:lang w:val="de-DE"/>
              </w:rPr>
              <w:t xml:space="preserve">Bahr, Ehrhard: </w:t>
            </w:r>
            <w:r w:rsidRPr="00161A87">
              <w:rPr>
                <w:rFonts w:ascii="Arial" w:hAnsi="Arial" w:cs="Arial"/>
                <w:b/>
                <w:sz w:val="20"/>
                <w:szCs w:val="20"/>
                <w:lang w:val="de-DE"/>
              </w:rPr>
              <w:t>Geschichte der deutschen Literatur</w:t>
            </w:r>
            <w:r w:rsidRPr="00161A87">
              <w:rPr>
                <w:rFonts w:ascii="Arial" w:hAnsi="Arial" w:cs="Arial"/>
                <w:sz w:val="20"/>
                <w:szCs w:val="20"/>
                <w:lang w:val="de-DE"/>
              </w:rPr>
              <w:t>. Von der Aufklärung bis zum Vormärz. Unter Mitwirk. von Wulf Köpke. Tübingen/Basel: 1998, 2. völlig überarb. Aufl.</w:t>
            </w:r>
          </w:p>
          <w:p w:rsidR="00161A87" w:rsidRPr="00161A87" w:rsidRDefault="00161A87" w:rsidP="00161A87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De Boor, Helmut: </w:t>
            </w:r>
          </w:p>
        </w:tc>
      </w:tr>
      <w:tr w:rsidR="00161A87" w:rsidRPr="00161A87" w:rsidTr="0027427A">
        <w:trPr>
          <w:trHeight w:val="930"/>
        </w:trPr>
        <w:tc>
          <w:tcPr>
            <w:tcW w:w="9622" w:type="dxa"/>
          </w:tcPr>
          <w:p w:rsidR="00161A87" w:rsidRPr="00161A87" w:rsidRDefault="00161A87" w:rsidP="00161A87">
            <w:pPr>
              <w:spacing w:line="336" w:lineRule="atLeas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de-DE"/>
              </w:rPr>
            </w:pPr>
          </w:p>
        </w:tc>
      </w:tr>
    </w:tbl>
    <w:p w:rsidR="00161A87" w:rsidRPr="00161A87" w:rsidRDefault="00161A87" w:rsidP="00161A87">
      <w:pPr>
        <w:rPr>
          <w:rFonts w:ascii="Arial" w:hAnsi="Arial" w:cs="Arial"/>
          <w:sz w:val="20"/>
          <w:szCs w:val="20"/>
          <w:lang w:val="de-DE"/>
        </w:rPr>
      </w:pPr>
    </w:p>
    <w:p w:rsidR="00161A87" w:rsidRPr="00161A87" w:rsidRDefault="00161A87" w:rsidP="00161A87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161A87" w:rsidRPr="00B70589" w:rsidRDefault="00161A87" w:rsidP="00161A87">
      <w:pPr>
        <w:pStyle w:val="Tekstdymka1"/>
        <w:rPr>
          <w:rFonts w:ascii="Arial" w:hAnsi="Arial" w:cs="Arial"/>
          <w:sz w:val="20"/>
          <w:szCs w:val="20"/>
        </w:rPr>
      </w:pPr>
      <w:r w:rsidRPr="00B70589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161A87" w:rsidRPr="00B72DE3" w:rsidTr="0027427A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0589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kcie z </w:t>
            </w: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prowadzącymi</w:t>
            </w:r>
          </w:p>
        </w:tc>
        <w:tc>
          <w:tcPr>
            <w:tcW w:w="5750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Wykład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161A87" w:rsidRPr="00B72DE3" w:rsidTr="0027427A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161A87" w:rsidRPr="00B72DE3" w:rsidTr="0027427A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61A87" w:rsidRPr="00B72DE3" w:rsidRDefault="00161A87" w:rsidP="0027427A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161A87" w:rsidRPr="00B72DE3" w:rsidTr="0027427A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161A87" w:rsidRPr="00B72DE3" w:rsidTr="0027427A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61A87" w:rsidRPr="00B72DE3" w:rsidTr="0027427A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</w:tr>
      <w:tr w:rsidR="00161A87" w:rsidRPr="00B72DE3" w:rsidTr="0027427A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161A87" w:rsidRPr="00B72DE3" w:rsidTr="0027427A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161A87" w:rsidRPr="00B72DE3" w:rsidTr="0027427A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72DE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161A87" w:rsidRPr="00B72DE3" w:rsidRDefault="00161A87" w:rsidP="0027427A">
            <w:pPr>
              <w:widowControl/>
              <w:autoSpaceDE/>
              <w:spacing w:line="276" w:lineRule="auto"/>
              <w:ind w:left="360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161A87" w:rsidRPr="00B72DE3" w:rsidRDefault="00161A87" w:rsidP="00161A87">
      <w:pPr>
        <w:pStyle w:val="Tekstdymka1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pStyle w:val="Tekstdymka1"/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Pr="00B72DE3" w:rsidRDefault="00161A87" w:rsidP="00161A87">
      <w:pPr>
        <w:rPr>
          <w:rFonts w:ascii="Arial" w:hAnsi="Arial" w:cs="Arial"/>
          <w:sz w:val="20"/>
          <w:szCs w:val="20"/>
        </w:rPr>
      </w:pPr>
    </w:p>
    <w:p w:rsidR="00161A87" w:rsidRDefault="00161A87" w:rsidP="00161A87"/>
    <w:p w:rsidR="00725D2A" w:rsidRDefault="00725D2A"/>
    <w:sectPr w:rsidR="00725D2A" w:rsidSect="00AE5AB3">
      <w:headerReference w:type="default" r:id="rId8"/>
      <w:footerReference w:type="default" r:id="rId9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3E6" w:rsidRDefault="00CF53E6">
      <w:r>
        <w:separator/>
      </w:r>
    </w:p>
  </w:endnote>
  <w:endnote w:type="continuationSeparator" w:id="0">
    <w:p w:rsidR="00CF53E6" w:rsidRDefault="00CF5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97" w:rsidRDefault="00BC501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874A9B">
      <w:rPr>
        <w:noProof/>
      </w:rPr>
      <w:t>1</w:t>
    </w:r>
    <w:r>
      <w:fldChar w:fldCharType="end"/>
    </w:r>
  </w:p>
  <w:p w:rsidR="00416C97" w:rsidRDefault="00CF53E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3E6" w:rsidRDefault="00CF53E6">
      <w:r>
        <w:separator/>
      </w:r>
    </w:p>
  </w:footnote>
  <w:footnote w:type="continuationSeparator" w:id="0">
    <w:p w:rsidR="00CF53E6" w:rsidRDefault="00CF53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97" w:rsidRDefault="00CF53E6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A5DB8"/>
    <w:multiLevelType w:val="hybridMultilevel"/>
    <w:tmpl w:val="3976B376"/>
    <w:lvl w:ilvl="0" w:tplc="04CC6E9E">
      <w:start w:val="1"/>
      <w:numFmt w:val="decimal"/>
      <w:lvlText w:val="%1."/>
      <w:lvlJc w:val="left"/>
      <w:pPr>
        <w:ind w:left="720" w:hanging="360"/>
      </w:pPr>
      <w:rPr>
        <w:rFonts w:eastAsia="Cambria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E6BD6"/>
    <w:multiLevelType w:val="hybridMultilevel"/>
    <w:tmpl w:val="8C9CA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2710EE"/>
    <w:multiLevelType w:val="hybridMultilevel"/>
    <w:tmpl w:val="5EB849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46028"/>
    <w:multiLevelType w:val="hybridMultilevel"/>
    <w:tmpl w:val="DE40DE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A87"/>
    <w:rsid w:val="00161A87"/>
    <w:rsid w:val="003D686D"/>
    <w:rsid w:val="00725D2A"/>
    <w:rsid w:val="0073515B"/>
    <w:rsid w:val="00801D44"/>
    <w:rsid w:val="00874A9B"/>
    <w:rsid w:val="008A5124"/>
    <w:rsid w:val="00A961B3"/>
    <w:rsid w:val="00BC5016"/>
    <w:rsid w:val="00CF53E6"/>
    <w:rsid w:val="00E0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A87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161A8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1A87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161A8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61A87"/>
    <w:rPr>
      <w:rFonts w:ascii="Arial" w:eastAsia="Times New Roman" w:hAnsi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161A8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61A87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161A87"/>
    <w:pPr>
      <w:suppressLineNumbers/>
    </w:pPr>
  </w:style>
  <w:style w:type="paragraph" w:customStyle="1" w:styleId="Tekstdymka1">
    <w:name w:val="Tekst dymka1"/>
    <w:basedOn w:val="Normalny"/>
    <w:rsid w:val="00161A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61A8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161A87"/>
  </w:style>
  <w:style w:type="character" w:customStyle="1" w:styleId="media-delimiter">
    <w:name w:val="media-delimiter"/>
    <w:basedOn w:val="Domylnaczcionkaakapitu"/>
    <w:rsid w:val="00161A8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61A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61A87"/>
    <w:rPr>
      <w:rFonts w:eastAsia="Times New Roman"/>
      <w:kern w:val="0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61A87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161A87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61A87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semiHidden/>
    <w:rsid w:val="00161A8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161A87"/>
    <w:rPr>
      <w:rFonts w:ascii="Arial" w:eastAsia="Times New Roman" w:hAnsi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semiHidden/>
    <w:rsid w:val="00161A87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161A87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rsid w:val="00161A87"/>
    <w:pPr>
      <w:suppressLineNumbers/>
    </w:pPr>
  </w:style>
  <w:style w:type="paragraph" w:customStyle="1" w:styleId="Tekstdymka1">
    <w:name w:val="Tekst dymka1"/>
    <w:basedOn w:val="Normalny"/>
    <w:rsid w:val="00161A8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61A8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161A87"/>
  </w:style>
  <w:style w:type="character" w:customStyle="1" w:styleId="media-delimiter">
    <w:name w:val="media-delimiter"/>
    <w:basedOn w:val="Domylnaczcionkaakapitu"/>
    <w:rsid w:val="00161A87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161A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61A87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pml</dc:creator>
  <cp:lastModifiedBy>aaa</cp:lastModifiedBy>
  <cp:revision>2</cp:revision>
  <dcterms:created xsi:type="dcterms:W3CDTF">2019-09-19T11:40:00Z</dcterms:created>
  <dcterms:modified xsi:type="dcterms:W3CDTF">2019-09-19T11:40:00Z</dcterms:modified>
</cp:coreProperties>
</file>